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8D0D15">
      <w:pPr>
        <w:rPr>
          <w:rFonts w:hint="eastAsia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/>
          <w:b/>
          <w:bCs/>
          <w:color w:val="auto"/>
          <w:sz w:val="30"/>
          <w:szCs w:val="30"/>
          <w:lang w:val="en-US" w:eastAsia="zh-CN"/>
        </w:rPr>
        <w:t>附件1：</w:t>
      </w:r>
    </w:p>
    <w:p w14:paraId="538D3681">
      <w:pPr>
        <w:widowControl w:val="0"/>
        <w:numPr>
          <w:ilvl w:val="0"/>
          <w:numId w:val="0"/>
        </w:numPr>
        <w:ind w:firstLine="2409" w:firstLineChars="800"/>
        <w:jc w:val="both"/>
        <w:rPr>
          <w:rFonts w:hint="eastAsia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/>
          <w:b/>
          <w:bCs/>
          <w:color w:val="auto"/>
          <w:sz w:val="30"/>
          <w:szCs w:val="30"/>
          <w:lang w:val="en-US" w:eastAsia="zh-CN"/>
        </w:rPr>
        <w:t>网络公选课课程建设类型表</w:t>
      </w:r>
    </w:p>
    <w:tbl>
      <w:tblPr>
        <w:tblStyle w:val="3"/>
        <w:tblW w:w="87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6"/>
        <w:gridCol w:w="1690"/>
        <w:gridCol w:w="2296"/>
        <w:gridCol w:w="3645"/>
      </w:tblGrid>
      <w:tr w14:paraId="49A0A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126" w:type="dxa"/>
            <w:vAlign w:val="center"/>
          </w:tcPr>
          <w:p w14:paraId="00784CD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690" w:type="dxa"/>
            <w:vAlign w:val="center"/>
          </w:tcPr>
          <w:p w14:paraId="115268D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课程模块</w:t>
            </w:r>
          </w:p>
        </w:tc>
        <w:tc>
          <w:tcPr>
            <w:tcW w:w="2296" w:type="dxa"/>
            <w:vAlign w:val="center"/>
          </w:tcPr>
          <w:p w14:paraId="796771F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课程目标</w:t>
            </w:r>
          </w:p>
        </w:tc>
        <w:tc>
          <w:tcPr>
            <w:tcW w:w="3645" w:type="dxa"/>
            <w:vAlign w:val="center"/>
          </w:tcPr>
          <w:p w14:paraId="781D54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课程分类</w:t>
            </w:r>
          </w:p>
        </w:tc>
      </w:tr>
      <w:tr w14:paraId="6236A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6" w:type="dxa"/>
            <w:vAlign w:val="center"/>
          </w:tcPr>
          <w:p w14:paraId="02D186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690" w:type="dxa"/>
            <w:vAlign w:val="center"/>
          </w:tcPr>
          <w:p w14:paraId="22666E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  <w:lang w:val="en-US" w:eastAsia="zh-CN"/>
              </w:rPr>
              <w:t>文史经典与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红色</w:t>
            </w:r>
            <w:r>
              <w:rPr>
                <w:rFonts w:hint="default"/>
                <w:sz w:val="24"/>
                <w:szCs w:val="24"/>
                <w:lang w:val="en-US" w:eastAsia="zh-CN"/>
              </w:rPr>
              <w:t>文化模块</w:t>
            </w:r>
          </w:p>
          <w:p w14:paraId="5D103B6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96" w:type="dxa"/>
            <w:vAlign w:val="center"/>
          </w:tcPr>
          <w:p w14:paraId="7D34949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  <w:t>弘扬中华优秀传统文化，传承红色基因，增强学生的文化自信和历史使命感。</w:t>
            </w:r>
          </w:p>
        </w:tc>
        <w:tc>
          <w:tcPr>
            <w:tcW w:w="3645" w:type="dxa"/>
            <w:vAlign w:val="center"/>
          </w:tcPr>
          <w:p w14:paraId="26B764D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lang w:val="en-US" w:eastAsia="zh-CN"/>
              </w:rPr>
              <w:t>中国文学经典导读与赏析、外国文学经典导读与赏析、外国语言教学、著名历史人物与思想评介、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红色文化</w:t>
            </w:r>
            <w:r>
              <w:rPr>
                <w:rFonts w:hint="default"/>
                <w:sz w:val="24"/>
                <w:szCs w:val="24"/>
                <w:lang w:val="en-US" w:eastAsia="zh-CN"/>
              </w:rPr>
              <w:t>等。</w:t>
            </w:r>
          </w:p>
        </w:tc>
      </w:tr>
      <w:tr w14:paraId="74931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9" w:hRule="exact"/>
        </w:trPr>
        <w:tc>
          <w:tcPr>
            <w:tcW w:w="1126" w:type="dxa"/>
            <w:vAlign w:val="center"/>
          </w:tcPr>
          <w:p w14:paraId="0593B03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690" w:type="dxa"/>
            <w:vAlign w:val="center"/>
          </w:tcPr>
          <w:p w14:paraId="194071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  <w:lang w:val="en-US" w:eastAsia="zh-CN"/>
              </w:rPr>
              <w:t>数理基础与科学精神模块</w:t>
            </w:r>
          </w:p>
          <w:p w14:paraId="660509A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96" w:type="dxa"/>
            <w:vAlign w:val="center"/>
          </w:tcPr>
          <w:p w14:paraId="61BDE4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  <w:t>强化学生的数理基础，培养科学思维方法，提升科学素养和创新能力。</w:t>
            </w:r>
          </w:p>
        </w:tc>
        <w:tc>
          <w:tcPr>
            <w:tcW w:w="3645" w:type="dxa"/>
            <w:vAlign w:val="center"/>
          </w:tcPr>
          <w:p w14:paraId="2E0F55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  <w:lang w:val="en-US" w:eastAsia="zh-CN"/>
              </w:rPr>
              <w:t>数学、物理、机械电气、电子信息、计算机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、人工智能</w:t>
            </w:r>
            <w:r>
              <w:rPr>
                <w:rFonts w:hint="default"/>
                <w:sz w:val="24"/>
                <w:szCs w:val="24"/>
                <w:lang w:val="en-US" w:eastAsia="zh-CN"/>
              </w:rPr>
              <w:t>等各类科学基础知识及其应用、前沿科学知识介绍、各类科学知识与人类生活关系、科学研究方法简介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。</w:t>
            </w:r>
            <w:r>
              <w:rPr>
                <w:rFonts w:hint="default"/>
                <w:sz w:val="24"/>
                <w:szCs w:val="24"/>
                <w:lang w:val="en-US" w:eastAsia="zh-CN"/>
              </w:rPr>
              <w:t>发明与创造等。</w:t>
            </w:r>
          </w:p>
          <w:p w14:paraId="2D753E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B7D0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</w:trPr>
        <w:tc>
          <w:tcPr>
            <w:tcW w:w="1126" w:type="dxa"/>
            <w:vAlign w:val="center"/>
          </w:tcPr>
          <w:p w14:paraId="1673AA3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690" w:type="dxa"/>
            <w:vAlign w:val="center"/>
          </w:tcPr>
          <w:p w14:paraId="690431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  <w:lang w:val="en-US" w:eastAsia="zh-CN"/>
              </w:rPr>
              <w:t>艺术创作与审美体验模块</w:t>
            </w:r>
          </w:p>
          <w:p w14:paraId="31D1BDD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96" w:type="dxa"/>
            <w:vAlign w:val="center"/>
          </w:tcPr>
          <w:p w14:paraId="542FAA8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  <w:t>通过艺术创作与鉴赏，提升学生的审美能力和艺术修养，丰富校园文化生活</w:t>
            </w: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。</w:t>
            </w:r>
          </w:p>
        </w:tc>
        <w:tc>
          <w:tcPr>
            <w:tcW w:w="3645" w:type="dxa"/>
            <w:vAlign w:val="center"/>
          </w:tcPr>
          <w:p w14:paraId="25CB45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  <w:lang w:val="en-US" w:eastAsia="zh-CN"/>
              </w:rPr>
              <w:t>音乐基础知识及基本技能、美术基础知识与基本技能、戏剧与影视创作、艺术设计基础知识等。</w:t>
            </w:r>
          </w:p>
          <w:p w14:paraId="0B74064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46D7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3" w:hRule="exact"/>
        </w:trPr>
        <w:tc>
          <w:tcPr>
            <w:tcW w:w="1126" w:type="dxa"/>
            <w:vAlign w:val="center"/>
          </w:tcPr>
          <w:p w14:paraId="417EE9C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690" w:type="dxa"/>
            <w:vAlign w:val="center"/>
          </w:tcPr>
          <w:p w14:paraId="303143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健康教育</w:t>
            </w:r>
            <w:r>
              <w:rPr>
                <w:rFonts w:hint="default"/>
                <w:sz w:val="24"/>
                <w:szCs w:val="24"/>
                <w:lang w:val="en-US" w:eastAsia="zh-CN"/>
              </w:rPr>
              <w:t>与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绿色环保</w:t>
            </w:r>
            <w:r>
              <w:rPr>
                <w:rFonts w:hint="default"/>
                <w:sz w:val="24"/>
                <w:szCs w:val="24"/>
                <w:lang w:val="en-US" w:eastAsia="zh-CN"/>
              </w:rPr>
              <w:t>模块</w:t>
            </w:r>
          </w:p>
          <w:p w14:paraId="0869E5F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96" w:type="dxa"/>
            <w:vAlign w:val="center"/>
          </w:tcPr>
          <w:p w14:paraId="12B2F8D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  <w:t>普及健康知识，倡导绿色生活方式，增强学生的环保意识和可持续发展理念。</w:t>
            </w:r>
          </w:p>
        </w:tc>
        <w:tc>
          <w:tcPr>
            <w:tcW w:w="3645" w:type="dxa"/>
            <w:vAlign w:val="center"/>
          </w:tcPr>
          <w:p w14:paraId="301C31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生活技能、急救知识与技能、心理健康基础、心理咨询和治疗、数字时代的心理健康、心理健康政策和法律、环境科学基础、可持续发展、环境伦理、环境政策与法规</w:t>
            </w:r>
            <w:r>
              <w:rPr>
                <w:rFonts w:hint="default"/>
                <w:color w:val="auto"/>
                <w:sz w:val="24"/>
                <w:szCs w:val="24"/>
                <w:lang w:val="en-US" w:eastAsia="zh-CN"/>
              </w:rPr>
              <w:t>等。</w:t>
            </w:r>
          </w:p>
          <w:p w14:paraId="4AD84AA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D23B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6" w:type="dxa"/>
            <w:vAlign w:val="center"/>
          </w:tcPr>
          <w:p w14:paraId="19DB6EF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690" w:type="dxa"/>
            <w:vAlign w:val="center"/>
          </w:tcPr>
          <w:p w14:paraId="54E49A4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lang w:val="en-US" w:eastAsia="zh-CN"/>
              </w:rPr>
              <w:t>创新思维与创业训练模块</w:t>
            </w:r>
          </w:p>
        </w:tc>
        <w:tc>
          <w:tcPr>
            <w:tcW w:w="2296" w:type="dxa"/>
            <w:vAlign w:val="center"/>
          </w:tcPr>
          <w:p w14:paraId="5FB479C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  <w:t>培养学生的创新思维和创业能力，激发学生的创业热情，为未来的职业生涯打下坚实基础</w:t>
            </w: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。</w:t>
            </w:r>
          </w:p>
        </w:tc>
        <w:tc>
          <w:tcPr>
            <w:tcW w:w="3645" w:type="dxa"/>
            <w:vAlign w:val="center"/>
          </w:tcPr>
          <w:p w14:paraId="55834D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auto"/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  <w:lang w:val="en-US" w:eastAsia="zh-CN"/>
              </w:rPr>
              <w:t>创新创业教育、创业认知、创业者及企业家精神、创新思维与创新方法、创业项目筛选、编写创业计划书、备战创新创业大赛等。</w:t>
            </w:r>
          </w:p>
          <w:p w14:paraId="0B53C62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8FE7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6" w:type="dxa"/>
            <w:vAlign w:val="center"/>
          </w:tcPr>
          <w:p w14:paraId="0C908E4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690" w:type="dxa"/>
            <w:vAlign w:val="center"/>
          </w:tcPr>
          <w:p w14:paraId="3C2F186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专升本加油站模块</w:t>
            </w:r>
          </w:p>
        </w:tc>
        <w:tc>
          <w:tcPr>
            <w:tcW w:w="2296" w:type="dxa"/>
            <w:vAlign w:val="center"/>
          </w:tcPr>
          <w:p w14:paraId="2D2B0DE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  <w:t>通过课程学习，使学</w:t>
            </w:r>
          </w:p>
          <w:p w14:paraId="6B3338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  <w:t>生全面、深入地掌握</w:t>
            </w:r>
          </w:p>
          <w:p w14:paraId="676737E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  <w:t>专升本考试所需的</w:t>
            </w:r>
          </w:p>
          <w:p w14:paraId="155BBF0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  <w:t>核心知识和技能，有</w:t>
            </w:r>
          </w:p>
          <w:p w14:paraId="4600022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  <w:t>效提升考试通过率。</w:t>
            </w:r>
          </w:p>
        </w:tc>
        <w:tc>
          <w:tcPr>
            <w:tcW w:w="3645" w:type="dxa"/>
            <w:vAlign w:val="center"/>
          </w:tcPr>
          <w:p w14:paraId="32318A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  <w:p w14:paraId="4B30114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文学文化常识、汉语基础知识、文学写作、函数、微积分、</w:t>
            </w:r>
            <w:r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  <w:t>英语阅读技巧</w:t>
            </w: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与</w:t>
            </w:r>
            <w:r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  <w:t>写作</w:t>
            </w: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、英语翻译、</w:t>
            </w:r>
          </w:p>
          <w:p w14:paraId="0F1C0BA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  <w:t>计算机</w:t>
            </w: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基础知识</w:t>
            </w:r>
            <w:r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  <w:t>、</w:t>
            </w: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日常办公软件应用、信息检索与应用等。</w:t>
            </w:r>
          </w:p>
          <w:p w14:paraId="119255A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144E08E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E24E39"/>
    <w:rsid w:val="05E24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2025-09-30T02:02:00Z</dcterms:created>
  <dc:creator>王洁</dc:creator>
  <cp:lastModifiedBy>王洁</cp:lastModifiedBy>
  <dcterms:modified xsi:type="dcterms:W3CDTF">2025-09-30T02:03:02Z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E65AF6B45D2348A5AC1B54D4D1691A3C_11</vt:lpwstr>
  </property>
  <property fmtid="{D5CDD505-2E9C-101B-9397-08002B2CF9AE}" pid="4" name="KSOTemplateDocerSaveRecord">
    <vt:lpwstr>eyJoZGlkIjoiODFjYjc1NmRmMTFiNDRkZGMwMjUxMGE5MzdjNjg1MmIiLCJ1c2VySWQiOiIxNjM5ODMxNzg0In0=</vt:lpwstr>
  </property>
</Properties>
</file>